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CC" w:rsidRPr="00F417CC" w:rsidRDefault="00F417CC" w:rsidP="00F417CC">
      <w:pPr>
        <w:autoSpaceDE w:val="0"/>
        <w:autoSpaceDN w:val="0"/>
        <w:adjustRightInd w:val="0"/>
        <w:jc w:val="both"/>
        <w:rPr>
          <w:b/>
          <w:lang w:val="en-US"/>
        </w:rPr>
      </w:pPr>
      <w:r w:rsidRPr="00F417CC">
        <w:rPr>
          <w:b/>
          <w:lang w:val="en-US"/>
        </w:rPr>
        <w:t>Abstract</w:t>
      </w:r>
    </w:p>
    <w:p w:rsidR="00F417CC" w:rsidRPr="00F417CC" w:rsidRDefault="00F417CC" w:rsidP="00F417CC">
      <w:pPr>
        <w:autoSpaceDE w:val="0"/>
        <w:autoSpaceDN w:val="0"/>
        <w:adjustRightInd w:val="0"/>
        <w:jc w:val="both"/>
        <w:rPr>
          <w:lang w:val="en-US"/>
        </w:rPr>
      </w:pPr>
      <w:r w:rsidRPr="00F417CC">
        <w:rPr>
          <w:lang w:val="en-US"/>
        </w:rPr>
        <w:t>German East Africa, one of the youngest and largest colonies of the German Empire,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 xml:space="preserve">remained a </w:t>
      </w:r>
      <w:proofErr w:type="spellStart"/>
      <w:r w:rsidRPr="00F417CC">
        <w:rPr>
          <w:lang w:val="en-US"/>
        </w:rPr>
        <w:t>scarcley</w:t>
      </w:r>
      <w:proofErr w:type="spellEnd"/>
      <w:r w:rsidRPr="00F417CC">
        <w:rPr>
          <w:lang w:val="en-US"/>
        </w:rPr>
        <w:t xml:space="preserve"> developed and controlled territory up to its dissolution by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the Treaty of Versailles. The European presence in this area was concentrated on a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few scattered, island-like settlements near the coast and inland. In these places the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colonizers encountered indigenous and immigrant populations with different sociocultural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characteristics. This anthology explores those cultural contacts, that were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defined by asymmetrical power relations, coercion and violence, but also questioned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the legitimacy of existing demarcations by creating new experiential horizons in</w:t>
      </w:r>
      <w:r w:rsidRPr="00F417CC">
        <w:rPr>
          <w:lang w:val="en-US"/>
        </w:rPr>
        <w:t xml:space="preserve"> </w:t>
      </w:r>
      <w:r w:rsidRPr="00F417CC">
        <w:rPr>
          <w:lang w:val="en-US"/>
        </w:rPr>
        <w:t>the increasingly hybrid environment of colonial space.</w:t>
      </w:r>
    </w:p>
    <w:p w:rsidR="00F417CC" w:rsidRPr="00F417CC" w:rsidRDefault="00F417CC" w:rsidP="00F417CC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</w:p>
    <w:p w:rsidR="00F417CC" w:rsidRPr="00F417CC" w:rsidRDefault="00F417CC" w:rsidP="00F417CC">
      <w:pPr>
        <w:autoSpaceDE w:val="0"/>
        <w:autoSpaceDN w:val="0"/>
        <w:adjustRightInd w:val="0"/>
        <w:jc w:val="both"/>
        <w:rPr>
          <w:b/>
        </w:rPr>
      </w:pPr>
      <w:r w:rsidRPr="00F417CC">
        <w:rPr>
          <w:b/>
        </w:rPr>
        <w:t>Résumé</w:t>
      </w:r>
    </w:p>
    <w:p w:rsidR="009E2E09" w:rsidRDefault="00F417CC" w:rsidP="00F417CC">
      <w:pPr>
        <w:autoSpaceDE w:val="0"/>
        <w:autoSpaceDN w:val="0"/>
        <w:adjustRightInd w:val="0"/>
        <w:jc w:val="both"/>
      </w:pPr>
      <w:r w:rsidRPr="00F417CC">
        <w:t>L’Afrique orientale allemande, l’une des plus jeunes et plus vastes colonies de</w:t>
      </w:r>
      <w:r w:rsidRPr="00F417CC">
        <w:t xml:space="preserve"> </w:t>
      </w:r>
      <w:r w:rsidRPr="00F417CC">
        <w:t>l’Empire allemand, est demeurée un territoire partiellement développé et contrôlé</w:t>
      </w:r>
      <w:r w:rsidRPr="00F417CC">
        <w:t xml:space="preserve"> </w:t>
      </w:r>
      <w:r w:rsidRPr="00F417CC">
        <w:t>jusqu’à sa dissolution par le Traité de Versailles. La présence européenne se</w:t>
      </w:r>
      <w:r w:rsidRPr="00F417CC">
        <w:t xml:space="preserve"> </w:t>
      </w:r>
      <w:r w:rsidRPr="00F417CC">
        <w:t>concentrait</w:t>
      </w:r>
      <w:r w:rsidRPr="00F417CC">
        <w:t xml:space="preserve"> </w:t>
      </w:r>
      <w:r w:rsidRPr="00F417CC">
        <w:t xml:space="preserve">dans des îlots de </w:t>
      </w:r>
      <w:proofErr w:type="gramStart"/>
      <w:r w:rsidRPr="00F417CC">
        <w:t>peuplement isolés</w:t>
      </w:r>
      <w:proofErr w:type="gramEnd"/>
      <w:r w:rsidRPr="00F417CC">
        <w:t xml:space="preserve"> sur la côte et à l’intérieur du pays. C’est</w:t>
      </w:r>
      <w:r w:rsidRPr="00F417CC">
        <w:t xml:space="preserve"> </w:t>
      </w:r>
      <w:r w:rsidRPr="00F417CC">
        <w:t>là que se rencontraient colonisateurs, indigènes et groupes de populations immigrées</w:t>
      </w:r>
      <w:r w:rsidRPr="00F417CC">
        <w:t xml:space="preserve"> </w:t>
      </w:r>
      <w:r w:rsidRPr="00F417CC">
        <w:t>aux diverses caractéristiques socio-culturelles. Le présent volume étudie les</w:t>
      </w:r>
      <w:r w:rsidRPr="00F417CC">
        <w:t xml:space="preserve"> </w:t>
      </w:r>
      <w:r w:rsidRPr="00F417CC">
        <w:t>contacts culturels</w:t>
      </w:r>
      <w:r w:rsidRPr="00F417CC">
        <w:t xml:space="preserve"> </w:t>
      </w:r>
      <w:r w:rsidRPr="00F417CC">
        <w:t>induits, contacts marqués par des relations de puissance</w:t>
      </w:r>
      <w:r w:rsidRPr="00F417CC">
        <w:t xml:space="preserve"> </w:t>
      </w:r>
      <w:r w:rsidRPr="00F417CC">
        <w:t>asymétriques, par la contrainte et la violence mais qui ouvraient aussi de nouveaux</w:t>
      </w:r>
      <w:r w:rsidRPr="00F417CC">
        <w:t xml:space="preserve"> </w:t>
      </w:r>
      <w:r w:rsidRPr="00F417CC">
        <w:t>horizons d’expérience dans le monde de plus en plus hybride de l’espace colonial,</w:t>
      </w:r>
      <w:r w:rsidRPr="00F417CC">
        <w:t xml:space="preserve"> </w:t>
      </w:r>
      <w:r w:rsidRPr="00F417CC">
        <w:t>remettant en question les limites et frontières existantes.</w:t>
      </w:r>
    </w:p>
    <w:p w:rsidR="00F417CC" w:rsidRPr="00F417CC" w:rsidRDefault="00F417CC" w:rsidP="00F417CC">
      <w:pPr>
        <w:autoSpaceDE w:val="0"/>
        <w:autoSpaceDN w:val="0"/>
        <w:adjustRightInd w:val="0"/>
        <w:jc w:val="both"/>
      </w:pP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proofErr w:type="spellStart"/>
      <w:r w:rsidRPr="00F417CC">
        <w:rPr>
          <w:b/>
          <w:sz w:val="22"/>
          <w:szCs w:val="22"/>
          <w:lang w:val="en-US"/>
        </w:rPr>
        <w:t>Inhalt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b/>
          <w:sz w:val="22"/>
          <w:szCs w:val="22"/>
          <w:lang w:val="en-US"/>
        </w:rPr>
        <w:t>Vorwort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9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b/>
          <w:sz w:val="22"/>
          <w:szCs w:val="22"/>
          <w:lang w:val="en-US"/>
        </w:rPr>
        <w:t>Zur</w:t>
      </w:r>
      <w:proofErr w:type="spellEnd"/>
      <w:r w:rsidRPr="00F417CC">
        <w:rPr>
          <w:b/>
          <w:sz w:val="22"/>
          <w:szCs w:val="22"/>
          <w:lang w:val="en-US"/>
        </w:rPr>
        <w:t xml:space="preserve"> </w:t>
      </w:r>
      <w:proofErr w:type="spellStart"/>
      <w:r w:rsidRPr="00F417CC">
        <w:rPr>
          <w:b/>
          <w:sz w:val="22"/>
          <w:szCs w:val="22"/>
          <w:lang w:val="en-US"/>
        </w:rPr>
        <w:t>Abbildung</w:t>
      </w:r>
      <w:proofErr w:type="spellEnd"/>
      <w:r w:rsidRPr="00F417CC">
        <w:rPr>
          <w:b/>
          <w:sz w:val="22"/>
          <w:szCs w:val="22"/>
          <w:lang w:val="en-US"/>
        </w:rPr>
        <w:t xml:space="preserve"> auf </w:t>
      </w:r>
      <w:proofErr w:type="spellStart"/>
      <w:r w:rsidRPr="00F417CC">
        <w:rPr>
          <w:b/>
          <w:sz w:val="22"/>
          <w:szCs w:val="22"/>
          <w:lang w:val="en-US"/>
        </w:rPr>
        <w:t>dem</w:t>
      </w:r>
      <w:proofErr w:type="spellEnd"/>
      <w:r w:rsidRPr="00F417CC">
        <w:rPr>
          <w:b/>
          <w:sz w:val="22"/>
          <w:szCs w:val="22"/>
          <w:lang w:val="en-US"/>
        </w:rPr>
        <w:t xml:space="preserve"> </w:t>
      </w:r>
      <w:proofErr w:type="spellStart"/>
      <w:r w:rsidRPr="00F417CC">
        <w:rPr>
          <w:b/>
          <w:sz w:val="22"/>
          <w:szCs w:val="22"/>
          <w:lang w:val="en-US"/>
        </w:rPr>
        <w:t>Umschlag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13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</w:rPr>
      </w:pPr>
      <w:r w:rsidRPr="00F417CC">
        <w:rPr>
          <w:b/>
          <w:sz w:val="22"/>
          <w:szCs w:val="22"/>
        </w:rPr>
        <w:t xml:space="preserve">Marie Sophie </w:t>
      </w:r>
      <w:proofErr w:type="spellStart"/>
      <w:r w:rsidRPr="00F417CC">
        <w:rPr>
          <w:b/>
          <w:sz w:val="22"/>
          <w:szCs w:val="22"/>
        </w:rPr>
        <w:t>Hingst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</w:rPr>
        <w:t>Wo</w:t>
      </w:r>
      <w:proofErr w:type="spellEnd"/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</w:rPr>
        <w:t>liegt</w:t>
      </w:r>
      <w:proofErr w:type="spellEnd"/>
      <w:r w:rsidRPr="00F417CC">
        <w:rPr>
          <w:sz w:val="22"/>
          <w:szCs w:val="22"/>
        </w:rPr>
        <w:t xml:space="preserve"> </w:t>
      </w:r>
      <w:proofErr w:type="spellStart"/>
      <w:proofErr w:type="gramStart"/>
      <w:r w:rsidRPr="00F417CC">
        <w:rPr>
          <w:sz w:val="22"/>
          <w:szCs w:val="22"/>
        </w:rPr>
        <w:t>Mpala</w:t>
      </w:r>
      <w:proofErr w:type="spellEnd"/>
      <w:r w:rsidRPr="00F417CC">
        <w:rPr>
          <w:sz w:val="22"/>
          <w:szCs w:val="22"/>
        </w:rPr>
        <w:t>?</w:t>
      </w:r>
      <w:proofErr w:type="gramEnd"/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Versuch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einer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kolonialen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Ortsbestimmung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15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Cornelia </w:t>
      </w:r>
      <w:proofErr w:type="spellStart"/>
      <w:r w:rsidRPr="00F417CC">
        <w:rPr>
          <w:b/>
          <w:sz w:val="22"/>
          <w:szCs w:val="22"/>
          <w:lang w:val="en-US"/>
        </w:rPr>
        <w:t>Pieroth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Pangani</w:t>
      </w:r>
      <w:proofErr w:type="spellEnd"/>
      <w:r w:rsidRPr="00F417CC">
        <w:rPr>
          <w:sz w:val="22"/>
          <w:szCs w:val="22"/>
          <w:lang w:val="en-US"/>
        </w:rPr>
        <w:t xml:space="preserve">. Auf den </w:t>
      </w:r>
      <w:proofErr w:type="spellStart"/>
      <w:r w:rsidRPr="00F417CC">
        <w:rPr>
          <w:sz w:val="22"/>
          <w:szCs w:val="22"/>
          <w:lang w:val="en-US"/>
        </w:rPr>
        <w:t>Spuren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einer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Kolonialstadt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39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>Katja Kaiser</w:t>
      </w:r>
    </w:p>
    <w:p w:rsidR="008067E1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Alles</w:t>
      </w:r>
      <w:proofErr w:type="spellEnd"/>
      <w:r w:rsidRPr="00F417CC">
        <w:rPr>
          <w:sz w:val="22"/>
          <w:szCs w:val="22"/>
          <w:lang w:val="en-US"/>
        </w:rPr>
        <w:t xml:space="preserve"> Theater? Die </w:t>
      </w:r>
      <w:proofErr w:type="spellStart"/>
      <w:r w:rsidRPr="00F417CC">
        <w:rPr>
          <w:sz w:val="22"/>
          <w:szCs w:val="22"/>
          <w:lang w:val="en-US"/>
        </w:rPr>
        <w:t>Inszenierung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deutscher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Herrschaft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im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ostafrikanischen</w:t>
      </w:r>
      <w:proofErr w:type="spellEnd"/>
      <w:r w:rsidRPr="00F417CC">
        <w:rPr>
          <w:sz w:val="22"/>
          <w:szCs w:val="22"/>
          <w:lang w:val="en-US"/>
        </w:rPr>
        <w:t xml:space="preserve"> „</w:t>
      </w:r>
      <w:proofErr w:type="spellStart"/>
      <w:proofErr w:type="gramStart"/>
      <w:r w:rsidRPr="00F417CC">
        <w:rPr>
          <w:sz w:val="22"/>
          <w:szCs w:val="22"/>
          <w:lang w:val="en-US"/>
        </w:rPr>
        <w:t>Schutzgebiet</w:t>
      </w:r>
      <w:proofErr w:type="spellEnd"/>
      <w:r w:rsidRPr="00F417CC">
        <w:rPr>
          <w:sz w:val="22"/>
          <w:szCs w:val="22"/>
          <w:lang w:val="en-US"/>
        </w:rPr>
        <w:t>“</w:t>
      </w:r>
      <w:proofErr w:type="gramEnd"/>
      <w:r w:rsidRPr="00F417CC">
        <w:rPr>
          <w:sz w:val="22"/>
          <w:szCs w:val="22"/>
          <w:lang w:val="en-US"/>
        </w:rPr>
        <w:t xml:space="preserve">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bookmarkStart w:id="0" w:name="_GoBack"/>
      <w:bookmarkEnd w:id="0"/>
      <w:r w:rsidRPr="00F417CC">
        <w:rPr>
          <w:sz w:val="22"/>
          <w:szCs w:val="22"/>
          <w:lang w:val="en-US"/>
        </w:rPr>
        <w:t xml:space="preserve">in den </w:t>
      </w:r>
      <w:proofErr w:type="spellStart"/>
      <w:r w:rsidRPr="00F417CC">
        <w:rPr>
          <w:sz w:val="22"/>
          <w:szCs w:val="22"/>
          <w:lang w:val="en-US"/>
        </w:rPr>
        <w:t>Texten</w:t>
      </w:r>
      <w:proofErr w:type="spellEnd"/>
      <w:r w:rsidRPr="00F417CC">
        <w:rPr>
          <w:sz w:val="22"/>
          <w:szCs w:val="22"/>
          <w:lang w:val="en-US"/>
        </w:rPr>
        <w:t xml:space="preserve"> Frieda von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Bülows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59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Christine de </w:t>
      </w:r>
      <w:proofErr w:type="spellStart"/>
      <w:r w:rsidRPr="00F417CC">
        <w:rPr>
          <w:b/>
          <w:sz w:val="22"/>
          <w:szCs w:val="22"/>
          <w:lang w:val="en-US"/>
        </w:rPr>
        <w:t>Gemeaux</w:t>
      </w:r>
      <w:proofErr w:type="spellEnd"/>
    </w:p>
    <w:p w:rsid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Wahehe-Kriege</w:t>
      </w:r>
      <w:proofErr w:type="spellEnd"/>
      <w:r w:rsidRPr="00F417CC">
        <w:rPr>
          <w:sz w:val="22"/>
          <w:szCs w:val="22"/>
          <w:lang w:val="en-US"/>
        </w:rPr>
        <w:t xml:space="preserve">, </w:t>
      </w:r>
      <w:proofErr w:type="spellStart"/>
      <w:r w:rsidRPr="00F417CC">
        <w:rPr>
          <w:sz w:val="22"/>
          <w:szCs w:val="22"/>
          <w:lang w:val="en-US"/>
        </w:rPr>
        <w:t>Farmerleben</w:t>
      </w:r>
      <w:proofErr w:type="spellEnd"/>
      <w:r w:rsidRPr="00F417CC">
        <w:rPr>
          <w:sz w:val="22"/>
          <w:szCs w:val="22"/>
          <w:lang w:val="en-US"/>
        </w:rPr>
        <w:t xml:space="preserve"> und </w:t>
      </w:r>
      <w:proofErr w:type="spellStart"/>
      <w:r w:rsidRPr="00F417CC">
        <w:rPr>
          <w:sz w:val="22"/>
          <w:szCs w:val="22"/>
          <w:lang w:val="en-US"/>
        </w:rPr>
        <w:t>koloniale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Gewalt</w:t>
      </w:r>
      <w:proofErr w:type="spellEnd"/>
      <w:r w:rsidRPr="00F417CC">
        <w:rPr>
          <w:sz w:val="22"/>
          <w:szCs w:val="22"/>
          <w:lang w:val="en-US"/>
        </w:rPr>
        <w:t xml:space="preserve">.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>Magdalene</w:t>
      </w:r>
      <w:r w:rsidRPr="00F417CC">
        <w:rPr>
          <w:sz w:val="22"/>
          <w:szCs w:val="22"/>
          <w:lang w:val="en-US"/>
        </w:rPr>
        <w:t xml:space="preserve"> </w:t>
      </w:r>
      <w:r w:rsidRPr="00F417CC">
        <w:rPr>
          <w:sz w:val="22"/>
          <w:szCs w:val="22"/>
          <w:lang w:val="en-US"/>
        </w:rPr>
        <w:t>von Prince in Deutsch-</w:t>
      </w:r>
      <w:proofErr w:type="spellStart"/>
      <w:r w:rsidRPr="00F417CC">
        <w:rPr>
          <w:sz w:val="22"/>
          <w:szCs w:val="22"/>
          <w:lang w:val="en-US"/>
        </w:rPr>
        <w:t>Ostafrika</w:t>
      </w:r>
      <w:proofErr w:type="spellEnd"/>
      <w:r w:rsidRPr="00F417CC">
        <w:rPr>
          <w:sz w:val="22"/>
          <w:szCs w:val="22"/>
          <w:lang w:val="en-US"/>
        </w:rPr>
        <w:t xml:space="preserve">. 1896-1919 </w:t>
      </w:r>
      <w:r w:rsidRPr="00F417CC">
        <w:rPr>
          <w:b/>
          <w:sz w:val="22"/>
          <w:szCs w:val="22"/>
          <w:lang w:val="en-US"/>
        </w:rPr>
        <w:t>79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>Stefan Noack</w:t>
      </w:r>
    </w:p>
    <w:p w:rsid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Weißes</w:t>
      </w:r>
      <w:proofErr w:type="spellEnd"/>
      <w:r w:rsidRPr="00F417CC">
        <w:rPr>
          <w:sz w:val="22"/>
          <w:szCs w:val="22"/>
          <w:lang w:val="en-US"/>
        </w:rPr>
        <w:t xml:space="preserve"> Gold am </w:t>
      </w:r>
      <w:proofErr w:type="spellStart"/>
      <w:r w:rsidRPr="00F417CC">
        <w:rPr>
          <w:sz w:val="22"/>
          <w:szCs w:val="22"/>
          <w:lang w:val="en-US"/>
        </w:rPr>
        <w:t>Malagarasi</w:t>
      </w:r>
      <w:proofErr w:type="spellEnd"/>
      <w:r w:rsidRPr="00F417CC">
        <w:rPr>
          <w:sz w:val="22"/>
          <w:szCs w:val="22"/>
          <w:lang w:val="en-US"/>
        </w:rPr>
        <w:t xml:space="preserve">. Otto </w:t>
      </w:r>
      <w:proofErr w:type="spellStart"/>
      <w:r w:rsidRPr="00F417CC">
        <w:rPr>
          <w:sz w:val="22"/>
          <w:szCs w:val="22"/>
          <w:lang w:val="en-US"/>
        </w:rPr>
        <w:t>Schloifer</w:t>
      </w:r>
      <w:proofErr w:type="spellEnd"/>
      <w:r w:rsidRPr="00F417CC">
        <w:rPr>
          <w:sz w:val="22"/>
          <w:szCs w:val="22"/>
          <w:lang w:val="en-US"/>
        </w:rPr>
        <w:t xml:space="preserve"> (1867-1941),</w:t>
      </w:r>
      <w:r w:rsidRPr="00F417CC">
        <w:rPr>
          <w:sz w:val="22"/>
          <w:szCs w:val="22"/>
          <w:lang w:val="en-US"/>
        </w:rPr>
        <w:t xml:space="preserve">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 xml:space="preserve">die </w:t>
      </w:r>
      <w:proofErr w:type="spellStart"/>
      <w:r w:rsidRPr="00F417CC">
        <w:rPr>
          <w:sz w:val="22"/>
          <w:szCs w:val="22"/>
          <w:lang w:val="en-US"/>
        </w:rPr>
        <w:t>Centralafrikanische</w:t>
      </w:r>
      <w:proofErr w:type="spellEnd"/>
      <w:r w:rsidRPr="00F417CC">
        <w:rPr>
          <w:sz w:val="22"/>
          <w:szCs w:val="22"/>
          <w:lang w:val="en-US"/>
        </w:rPr>
        <w:t xml:space="preserve"> Seen-Gesellschaft und die Saline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Gottorp</w:t>
      </w:r>
      <w:proofErr w:type="spellEnd"/>
      <w:r w:rsidRPr="00F417CC">
        <w:rPr>
          <w:sz w:val="22"/>
          <w:szCs w:val="22"/>
          <w:lang w:val="en-US"/>
        </w:rPr>
        <w:t xml:space="preserve"> in </w:t>
      </w:r>
      <w:proofErr w:type="spellStart"/>
      <w:r w:rsidRPr="00F417CC">
        <w:rPr>
          <w:sz w:val="22"/>
          <w:szCs w:val="22"/>
          <w:lang w:val="en-US"/>
        </w:rPr>
        <w:t>Uvinza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101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Winfried </w:t>
      </w:r>
      <w:proofErr w:type="spellStart"/>
      <w:r w:rsidRPr="00F417CC">
        <w:rPr>
          <w:b/>
          <w:sz w:val="22"/>
          <w:szCs w:val="22"/>
          <w:lang w:val="en-US"/>
        </w:rPr>
        <w:t>Mogge</w:t>
      </w:r>
      <w:proofErr w:type="spellEnd"/>
    </w:p>
    <w:p w:rsid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>„</w:t>
      </w:r>
      <w:proofErr w:type="spellStart"/>
      <w:r w:rsidRPr="00F417CC">
        <w:rPr>
          <w:sz w:val="22"/>
          <w:szCs w:val="22"/>
          <w:lang w:val="en-US"/>
        </w:rPr>
        <w:t>Im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deutschen</w:t>
      </w:r>
      <w:proofErr w:type="spellEnd"/>
      <w:r w:rsidRPr="00F417CC">
        <w:rPr>
          <w:sz w:val="22"/>
          <w:szCs w:val="22"/>
          <w:lang w:val="en-US"/>
        </w:rPr>
        <w:t xml:space="preserve"> Boden </w:t>
      </w:r>
      <w:proofErr w:type="spellStart"/>
      <w:proofErr w:type="gramStart"/>
      <w:r w:rsidRPr="00F417CC">
        <w:rPr>
          <w:sz w:val="22"/>
          <w:szCs w:val="22"/>
          <w:lang w:val="en-US"/>
        </w:rPr>
        <w:t>Afrikas</w:t>
      </w:r>
      <w:proofErr w:type="spellEnd"/>
      <w:r w:rsidRPr="00F417CC">
        <w:rPr>
          <w:sz w:val="22"/>
          <w:szCs w:val="22"/>
          <w:lang w:val="en-US"/>
        </w:rPr>
        <w:t>“</w:t>
      </w:r>
      <w:proofErr w:type="gramEnd"/>
      <w:r w:rsidRPr="00F417CC">
        <w:rPr>
          <w:sz w:val="22"/>
          <w:szCs w:val="22"/>
          <w:lang w:val="en-US"/>
        </w:rPr>
        <w:t xml:space="preserve">. Wilhelm </w:t>
      </w:r>
      <w:proofErr w:type="spellStart"/>
      <w:r w:rsidRPr="00F417CC">
        <w:rPr>
          <w:sz w:val="22"/>
          <w:szCs w:val="22"/>
          <w:lang w:val="en-US"/>
        </w:rPr>
        <w:t>Branca</w:t>
      </w:r>
      <w:proofErr w:type="spellEnd"/>
      <w:r w:rsidRPr="00F417CC">
        <w:rPr>
          <w:sz w:val="22"/>
          <w:szCs w:val="22"/>
          <w:lang w:val="en-US"/>
        </w:rPr>
        <w:t>, die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Tendaguru</w:t>
      </w:r>
      <w:proofErr w:type="spellEnd"/>
      <w:r w:rsidRPr="00F417CC">
        <w:rPr>
          <w:sz w:val="22"/>
          <w:szCs w:val="22"/>
          <w:lang w:val="en-US"/>
        </w:rPr>
        <w:t xml:space="preserve">-Expedition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 xml:space="preserve">und die </w:t>
      </w:r>
      <w:proofErr w:type="spellStart"/>
      <w:r w:rsidRPr="00F417CC">
        <w:rPr>
          <w:sz w:val="22"/>
          <w:szCs w:val="22"/>
          <w:lang w:val="en-US"/>
        </w:rPr>
        <w:t>Kolonialpolitik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125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Uwe </w:t>
      </w:r>
      <w:proofErr w:type="spellStart"/>
      <w:r w:rsidRPr="00F417CC">
        <w:rPr>
          <w:b/>
          <w:sz w:val="22"/>
          <w:szCs w:val="22"/>
          <w:lang w:val="en-US"/>
        </w:rPr>
        <w:t>Puschner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Perspektivenwechsel</w:t>
      </w:r>
      <w:proofErr w:type="spellEnd"/>
      <w:r w:rsidRPr="00F417CC">
        <w:rPr>
          <w:sz w:val="22"/>
          <w:szCs w:val="22"/>
          <w:lang w:val="en-US"/>
        </w:rPr>
        <w:t xml:space="preserve">: Hans </w:t>
      </w:r>
      <w:proofErr w:type="spellStart"/>
      <w:r w:rsidRPr="00F417CC">
        <w:rPr>
          <w:sz w:val="22"/>
          <w:szCs w:val="22"/>
          <w:lang w:val="en-US"/>
        </w:rPr>
        <w:t>Paasches</w:t>
      </w:r>
      <w:proofErr w:type="spellEnd"/>
      <w:r w:rsidRPr="00F417CC">
        <w:rPr>
          <w:sz w:val="22"/>
          <w:szCs w:val="22"/>
          <w:lang w:val="en-US"/>
        </w:rPr>
        <w:t xml:space="preserve"> „</w:t>
      </w:r>
      <w:proofErr w:type="spellStart"/>
      <w:r w:rsidRPr="00F417CC">
        <w:rPr>
          <w:sz w:val="22"/>
          <w:szCs w:val="22"/>
          <w:lang w:val="en-US"/>
        </w:rPr>
        <w:t>Forschungsreise</w:t>
      </w:r>
      <w:proofErr w:type="spellEnd"/>
      <w:r w:rsidRPr="00F417CC">
        <w:rPr>
          <w:sz w:val="22"/>
          <w:szCs w:val="22"/>
          <w:lang w:val="en-US"/>
        </w:rPr>
        <w:t xml:space="preserve"> …</w:t>
      </w:r>
      <w:r w:rsidRPr="00F417CC">
        <w:rPr>
          <w:sz w:val="22"/>
          <w:szCs w:val="22"/>
          <w:lang w:val="en-US"/>
        </w:rPr>
        <w:t xml:space="preserve"> </w:t>
      </w:r>
      <w:r w:rsidRPr="00F417CC">
        <w:rPr>
          <w:sz w:val="22"/>
          <w:szCs w:val="22"/>
          <w:lang w:val="en-US"/>
        </w:rPr>
        <w:t xml:space="preserve">ins </w:t>
      </w:r>
      <w:proofErr w:type="spellStart"/>
      <w:r w:rsidRPr="00F417CC">
        <w:rPr>
          <w:sz w:val="22"/>
          <w:szCs w:val="22"/>
          <w:lang w:val="en-US"/>
        </w:rPr>
        <w:t>Innerste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gramStart"/>
      <w:r w:rsidRPr="00F417CC">
        <w:rPr>
          <w:sz w:val="22"/>
          <w:szCs w:val="22"/>
          <w:lang w:val="en-US"/>
        </w:rPr>
        <w:t xml:space="preserve">Deutschland“ </w:t>
      </w:r>
      <w:r w:rsidRPr="00F417CC">
        <w:rPr>
          <w:b/>
          <w:sz w:val="22"/>
          <w:szCs w:val="22"/>
          <w:lang w:val="en-US"/>
        </w:rPr>
        <w:t>145</w:t>
      </w:r>
      <w:proofErr w:type="gramEnd"/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Catherine </w:t>
      </w:r>
      <w:proofErr w:type="spellStart"/>
      <w:r w:rsidRPr="00F417CC">
        <w:rPr>
          <w:b/>
          <w:sz w:val="22"/>
          <w:szCs w:val="22"/>
          <w:lang w:val="en-US"/>
        </w:rPr>
        <w:t>Repussard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</w:rPr>
      </w:pPr>
      <w:r w:rsidRPr="00F417CC">
        <w:rPr>
          <w:sz w:val="22"/>
          <w:szCs w:val="22"/>
          <w:lang w:val="en-US"/>
        </w:rPr>
        <w:t xml:space="preserve">Un regard postcolonial </w:t>
      </w:r>
      <w:proofErr w:type="spellStart"/>
      <w:r w:rsidRPr="00F417CC">
        <w:rPr>
          <w:sz w:val="22"/>
          <w:szCs w:val="22"/>
          <w:lang w:val="en-US"/>
        </w:rPr>
        <w:t>avant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l’heure</w:t>
      </w:r>
      <w:proofErr w:type="spellEnd"/>
      <w:r w:rsidRPr="00F417CC">
        <w:rPr>
          <w:sz w:val="22"/>
          <w:szCs w:val="22"/>
          <w:lang w:val="en-US"/>
        </w:rPr>
        <w:t xml:space="preserve">? </w:t>
      </w:r>
      <w:r w:rsidRPr="00F417CC">
        <w:rPr>
          <w:sz w:val="22"/>
          <w:szCs w:val="22"/>
        </w:rPr>
        <w:t>Les Mémoires d’Emily</w:t>
      </w:r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</w:rPr>
        <w:t>Ruete</w:t>
      </w:r>
      <w:proofErr w:type="spellEnd"/>
      <w:r w:rsidRPr="00F417CC">
        <w:rPr>
          <w:sz w:val="22"/>
          <w:szCs w:val="22"/>
        </w:rPr>
        <w:t xml:space="preserve">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F417CC">
        <w:rPr>
          <w:sz w:val="22"/>
          <w:szCs w:val="22"/>
        </w:rPr>
        <w:t>née</w:t>
      </w:r>
      <w:proofErr w:type="gramEnd"/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</w:rPr>
        <w:t>Salme</w:t>
      </w:r>
      <w:proofErr w:type="spellEnd"/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</w:rPr>
        <w:t>bint</w:t>
      </w:r>
      <w:proofErr w:type="spellEnd"/>
      <w:r w:rsidRPr="00F417CC">
        <w:rPr>
          <w:sz w:val="22"/>
          <w:szCs w:val="22"/>
        </w:rPr>
        <w:t xml:space="preserve"> </w:t>
      </w:r>
      <w:proofErr w:type="spellStart"/>
      <w:r w:rsidRPr="00F417CC">
        <w:rPr>
          <w:sz w:val="22"/>
          <w:szCs w:val="22"/>
        </w:rPr>
        <w:t>Said</w:t>
      </w:r>
      <w:proofErr w:type="spellEnd"/>
      <w:r w:rsidRPr="00F417CC">
        <w:rPr>
          <w:sz w:val="22"/>
          <w:szCs w:val="22"/>
        </w:rPr>
        <w:t xml:space="preserve"> al-</w:t>
      </w:r>
      <w:proofErr w:type="spellStart"/>
      <w:r w:rsidRPr="00F417CC">
        <w:rPr>
          <w:sz w:val="22"/>
          <w:szCs w:val="22"/>
        </w:rPr>
        <w:t>Busaid</w:t>
      </w:r>
      <w:proofErr w:type="spellEnd"/>
      <w:r w:rsidRPr="00F417CC">
        <w:rPr>
          <w:sz w:val="22"/>
          <w:szCs w:val="22"/>
        </w:rPr>
        <w:t xml:space="preserve"> (1844-1924), princesse</w:t>
      </w:r>
      <w:r w:rsidRPr="00F417CC">
        <w:rPr>
          <w:sz w:val="22"/>
          <w:szCs w:val="22"/>
        </w:rPr>
        <w:t xml:space="preserve"> </w:t>
      </w:r>
      <w:r w:rsidRPr="00F417CC">
        <w:rPr>
          <w:sz w:val="22"/>
          <w:szCs w:val="22"/>
        </w:rPr>
        <w:t xml:space="preserve">d’Oman et de Zanzibar </w:t>
      </w:r>
      <w:r w:rsidRPr="00F417CC">
        <w:rPr>
          <w:b/>
          <w:sz w:val="22"/>
          <w:szCs w:val="22"/>
        </w:rPr>
        <w:t>161</w:t>
      </w:r>
    </w:p>
    <w:p w:rsidR="00F417CC" w:rsidRPr="00F417CC" w:rsidRDefault="00F417CC" w:rsidP="00F417C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417CC">
        <w:rPr>
          <w:b/>
          <w:sz w:val="22"/>
          <w:szCs w:val="22"/>
        </w:rPr>
        <w:t xml:space="preserve">Jörg </w:t>
      </w:r>
      <w:proofErr w:type="spellStart"/>
      <w:r w:rsidRPr="00F417CC">
        <w:rPr>
          <w:b/>
          <w:sz w:val="22"/>
          <w:szCs w:val="22"/>
        </w:rPr>
        <w:t>Haustein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 xml:space="preserve">Religion, </w:t>
      </w:r>
      <w:proofErr w:type="spellStart"/>
      <w:r w:rsidRPr="00F417CC">
        <w:rPr>
          <w:sz w:val="22"/>
          <w:szCs w:val="22"/>
          <w:lang w:val="en-US"/>
        </w:rPr>
        <w:t>Rasse</w:t>
      </w:r>
      <w:proofErr w:type="spellEnd"/>
      <w:r w:rsidRPr="00F417CC">
        <w:rPr>
          <w:sz w:val="22"/>
          <w:szCs w:val="22"/>
          <w:lang w:val="en-US"/>
        </w:rPr>
        <w:t xml:space="preserve"> und </w:t>
      </w:r>
      <w:proofErr w:type="spellStart"/>
      <w:r w:rsidRPr="00F417CC">
        <w:rPr>
          <w:sz w:val="22"/>
          <w:szCs w:val="22"/>
          <w:lang w:val="en-US"/>
        </w:rPr>
        <w:t>Recht</w:t>
      </w:r>
      <w:proofErr w:type="spellEnd"/>
      <w:r w:rsidRPr="00F417CC">
        <w:rPr>
          <w:sz w:val="22"/>
          <w:szCs w:val="22"/>
          <w:lang w:val="en-US"/>
        </w:rPr>
        <w:t xml:space="preserve">. Der </w:t>
      </w:r>
      <w:proofErr w:type="spellStart"/>
      <w:r w:rsidRPr="00F417CC">
        <w:rPr>
          <w:sz w:val="22"/>
          <w:szCs w:val="22"/>
          <w:lang w:val="en-US"/>
        </w:rPr>
        <w:t>ostafrikanische</w:t>
      </w:r>
      <w:proofErr w:type="spellEnd"/>
      <w:r w:rsidRPr="00F417CC">
        <w:rPr>
          <w:sz w:val="22"/>
          <w:szCs w:val="22"/>
          <w:lang w:val="en-US"/>
        </w:rPr>
        <w:t xml:space="preserve"> Islam in der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Fiktion</w:t>
      </w:r>
      <w:proofErr w:type="spellEnd"/>
      <w:r w:rsidRPr="00F417CC">
        <w:rPr>
          <w:sz w:val="22"/>
          <w:szCs w:val="22"/>
          <w:lang w:val="en-US"/>
        </w:rPr>
        <w:t xml:space="preserve">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 w:rsidRPr="00F417CC">
        <w:rPr>
          <w:sz w:val="22"/>
          <w:szCs w:val="22"/>
          <w:lang w:val="en-US"/>
        </w:rPr>
        <w:t>vom</w:t>
      </w:r>
      <w:proofErr w:type="spellEnd"/>
      <w:r w:rsidRPr="00F417CC">
        <w:rPr>
          <w:sz w:val="22"/>
          <w:szCs w:val="22"/>
          <w:lang w:val="en-US"/>
        </w:rPr>
        <w:t xml:space="preserve"> „</w:t>
      </w:r>
      <w:proofErr w:type="spellStart"/>
      <w:proofErr w:type="gramStart"/>
      <w:r w:rsidRPr="00F417CC">
        <w:rPr>
          <w:sz w:val="22"/>
          <w:szCs w:val="22"/>
          <w:lang w:val="en-US"/>
        </w:rPr>
        <w:t>Eingeborenenrecht</w:t>
      </w:r>
      <w:proofErr w:type="spellEnd"/>
      <w:r w:rsidRPr="00F417CC">
        <w:rPr>
          <w:sz w:val="22"/>
          <w:szCs w:val="22"/>
          <w:lang w:val="en-US"/>
        </w:rPr>
        <w:t xml:space="preserve">“ </w:t>
      </w:r>
      <w:r w:rsidRPr="00F417CC">
        <w:rPr>
          <w:b/>
          <w:sz w:val="22"/>
          <w:szCs w:val="22"/>
          <w:lang w:val="en-US"/>
        </w:rPr>
        <w:t>179</w:t>
      </w:r>
      <w:proofErr w:type="gramEnd"/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Florian </w:t>
      </w:r>
      <w:proofErr w:type="spellStart"/>
      <w:r w:rsidRPr="00F417CC">
        <w:rPr>
          <w:b/>
          <w:sz w:val="22"/>
          <w:szCs w:val="22"/>
          <w:lang w:val="en-US"/>
        </w:rPr>
        <w:t>Krobb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>„[W]</w:t>
      </w:r>
      <w:proofErr w:type="spellStart"/>
      <w:r w:rsidRPr="00F417CC">
        <w:rPr>
          <w:sz w:val="22"/>
          <w:szCs w:val="22"/>
          <w:lang w:val="en-US"/>
        </w:rPr>
        <w:t>ir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haben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mit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ihnen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als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einem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vorhandenem</w:t>
      </w:r>
      <w:proofErr w:type="spellEnd"/>
      <w:r w:rsidRPr="00F417CC">
        <w:rPr>
          <w:sz w:val="22"/>
          <w:szCs w:val="22"/>
          <w:lang w:val="en-US"/>
        </w:rPr>
        <w:t xml:space="preserve"> Element </w:t>
      </w:r>
      <w:proofErr w:type="spellStart"/>
      <w:r w:rsidRPr="00F417CC">
        <w:rPr>
          <w:sz w:val="22"/>
          <w:szCs w:val="22"/>
          <w:lang w:val="en-US"/>
        </w:rPr>
        <w:t>zu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417CC">
        <w:rPr>
          <w:sz w:val="22"/>
          <w:szCs w:val="22"/>
          <w:lang w:val="en-US"/>
        </w:rPr>
        <w:t>rechnen</w:t>
      </w:r>
      <w:proofErr w:type="spellEnd"/>
      <w:r w:rsidRPr="00F417CC">
        <w:rPr>
          <w:sz w:val="22"/>
          <w:szCs w:val="22"/>
          <w:lang w:val="en-US"/>
        </w:rPr>
        <w:t>“</w:t>
      </w:r>
      <w:proofErr w:type="gramEnd"/>
      <w:r w:rsidRPr="00F417CC">
        <w:rPr>
          <w:sz w:val="22"/>
          <w:szCs w:val="22"/>
          <w:lang w:val="en-US"/>
        </w:rPr>
        <w:t xml:space="preserve">. 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>‚</w:t>
      </w:r>
      <w:proofErr w:type="spellStart"/>
      <w:proofErr w:type="gramStart"/>
      <w:r w:rsidRPr="00F417CC">
        <w:rPr>
          <w:sz w:val="22"/>
          <w:szCs w:val="22"/>
          <w:lang w:val="en-US"/>
        </w:rPr>
        <w:t>Araber</w:t>
      </w:r>
      <w:proofErr w:type="spellEnd"/>
      <w:r w:rsidRPr="00F417CC">
        <w:rPr>
          <w:sz w:val="22"/>
          <w:szCs w:val="22"/>
          <w:lang w:val="en-US"/>
        </w:rPr>
        <w:t xml:space="preserve">‘ </w:t>
      </w:r>
      <w:proofErr w:type="spellStart"/>
      <w:r w:rsidRPr="00F417CC">
        <w:rPr>
          <w:sz w:val="22"/>
          <w:szCs w:val="22"/>
          <w:lang w:val="en-US"/>
        </w:rPr>
        <w:t>im</w:t>
      </w:r>
      <w:proofErr w:type="spellEnd"/>
      <w:proofErr w:type="gram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Ostafrika-Diskurs</w:t>
      </w:r>
      <w:proofErr w:type="spellEnd"/>
      <w:r w:rsidRPr="00F417CC">
        <w:rPr>
          <w:sz w:val="22"/>
          <w:szCs w:val="22"/>
          <w:lang w:val="en-US"/>
        </w:rPr>
        <w:t xml:space="preserve">: </w:t>
      </w:r>
      <w:proofErr w:type="spellStart"/>
      <w:r w:rsidRPr="00F417CC">
        <w:rPr>
          <w:sz w:val="22"/>
          <w:szCs w:val="22"/>
          <w:lang w:val="en-US"/>
        </w:rPr>
        <w:t>Konkurrenz</w:t>
      </w:r>
      <w:proofErr w:type="spellEnd"/>
      <w:r w:rsidRPr="00F417CC">
        <w:rPr>
          <w:sz w:val="22"/>
          <w:szCs w:val="22"/>
          <w:lang w:val="en-US"/>
        </w:rPr>
        <w:t>,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Komplizenschaft</w:t>
      </w:r>
      <w:proofErr w:type="spellEnd"/>
      <w:r w:rsidRPr="00F417CC">
        <w:rPr>
          <w:sz w:val="22"/>
          <w:szCs w:val="22"/>
          <w:lang w:val="en-US"/>
        </w:rPr>
        <w:t xml:space="preserve">, </w:t>
      </w:r>
      <w:proofErr w:type="spellStart"/>
      <w:r w:rsidRPr="00F417CC">
        <w:rPr>
          <w:sz w:val="22"/>
          <w:szCs w:val="22"/>
          <w:lang w:val="en-US"/>
        </w:rPr>
        <w:t>Verschattung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r w:rsidRPr="00F417CC">
        <w:rPr>
          <w:b/>
          <w:sz w:val="22"/>
          <w:szCs w:val="22"/>
          <w:lang w:val="en-US"/>
        </w:rPr>
        <w:t>203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 xml:space="preserve">Martin </w:t>
      </w:r>
      <w:proofErr w:type="spellStart"/>
      <w:r w:rsidRPr="00F417CC">
        <w:rPr>
          <w:b/>
          <w:sz w:val="22"/>
          <w:szCs w:val="22"/>
          <w:lang w:val="en-US"/>
        </w:rPr>
        <w:t>Renghart</w:t>
      </w:r>
      <w:proofErr w:type="spellEnd"/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 xml:space="preserve">Das </w:t>
      </w:r>
      <w:proofErr w:type="spellStart"/>
      <w:r w:rsidRPr="00F417CC">
        <w:rPr>
          <w:sz w:val="22"/>
          <w:szCs w:val="22"/>
          <w:lang w:val="en-US"/>
        </w:rPr>
        <w:t>Afrikabild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im</w:t>
      </w:r>
      <w:proofErr w:type="spellEnd"/>
      <w:r w:rsidRPr="00F417CC">
        <w:rPr>
          <w:sz w:val="22"/>
          <w:szCs w:val="22"/>
          <w:lang w:val="en-US"/>
        </w:rPr>
        <w:t xml:space="preserve"> Brockhaus und </w:t>
      </w:r>
      <w:proofErr w:type="spellStart"/>
      <w:r w:rsidRPr="00F417CC">
        <w:rPr>
          <w:sz w:val="22"/>
          <w:szCs w:val="22"/>
          <w:lang w:val="en-US"/>
        </w:rPr>
        <w:t>anderen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deutschen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Lexika</w:t>
      </w:r>
      <w:proofErr w:type="spellEnd"/>
      <w:r w:rsidRPr="00F417CC">
        <w:rPr>
          <w:sz w:val="22"/>
          <w:szCs w:val="22"/>
          <w:lang w:val="en-US"/>
        </w:rPr>
        <w:t xml:space="preserve"> (1830-1930) </w:t>
      </w:r>
      <w:r w:rsidRPr="00F417CC">
        <w:rPr>
          <w:b/>
          <w:sz w:val="22"/>
          <w:szCs w:val="22"/>
          <w:lang w:val="en-US"/>
        </w:rPr>
        <w:t>227</w:t>
      </w:r>
    </w:p>
    <w:p w:rsidR="00F417CC" w:rsidRPr="00F417CC" w:rsidRDefault="00F417CC" w:rsidP="00F417C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>Philip Whyte</w:t>
      </w:r>
    </w:p>
    <w:p w:rsidR="00F417CC" w:rsidRPr="00F417CC" w:rsidRDefault="00F417CC" w:rsidP="00F417C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417CC">
        <w:rPr>
          <w:sz w:val="22"/>
          <w:szCs w:val="22"/>
          <w:lang w:val="en-US"/>
        </w:rPr>
        <w:t>East Africa in Postcolonial Fiction: History and Stories in</w:t>
      </w:r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Abdulrazak</w:t>
      </w:r>
      <w:proofErr w:type="spellEnd"/>
      <w:r w:rsidRPr="00F417CC">
        <w:rPr>
          <w:sz w:val="22"/>
          <w:szCs w:val="22"/>
          <w:lang w:val="en-US"/>
        </w:rPr>
        <w:t xml:space="preserve"> </w:t>
      </w:r>
      <w:proofErr w:type="spellStart"/>
      <w:r w:rsidRPr="00F417CC">
        <w:rPr>
          <w:sz w:val="22"/>
          <w:szCs w:val="22"/>
          <w:lang w:val="en-US"/>
        </w:rPr>
        <w:t>Gurnah’s</w:t>
      </w:r>
      <w:proofErr w:type="spellEnd"/>
      <w:r w:rsidRPr="00F417CC">
        <w:rPr>
          <w:sz w:val="22"/>
          <w:szCs w:val="22"/>
          <w:lang w:val="en-US"/>
        </w:rPr>
        <w:t xml:space="preserve"> Paradise </w:t>
      </w:r>
      <w:r w:rsidRPr="00F417CC">
        <w:rPr>
          <w:b/>
          <w:sz w:val="22"/>
          <w:szCs w:val="22"/>
          <w:lang w:val="en-US"/>
        </w:rPr>
        <w:t>251</w:t>
      </w:r>
    </w:p>
    <w:p w:rsidR="00F417CC" w:rsidRPr="00F417CC" w:rsidRDefault="00F417CC" w:rsidP="00F417CC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F417CC">
        <w:rPr>
          <w:b/>
          <w:sz w:val="22"/>
          <w:szCs w:val="22"/>
          <w:lang w:val="en-US"/>
        </w:rPr>
        <w:t>Index 271</w:t>
      </w:r>
    </w:p>
    <w:sectPr w:rsidR="00F417CC" w:rsidRPr="00F417CC" w:rsidSect="00F417CC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CC"/>
    <w:rsid w:val="001A03B9"/>
    <w:rsid w:val="003D7E5A"/>
    <w:rsid w:val="008067E1"/>
    <w:rsid w:val="009A4496"/>
    <w:rsid w:val="009E2E09"/>
    <w:rsid w:val="00F417CC"/>
    <w:rsid w:val="00F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E4B5"/>
  <w14:defaultImageDpi w14:val="32767"/>
  <w15:chartTrackingRefBased/>
  <w15:docId w15:val="{CD9AC91F-8612-FE4D-B5A6-F2D74980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7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Gavoille</dc:creator>
  <cp:keywords/>
  <dc:description/>
  <cp:lastModifiedBy>Elisabeth Gavoille</cp:lastModifiedBy>
  <cp:revision>2</cp:revision>
  <dcterms:created xsi:type="dcterms:W3CDTF">2020-03-29T14:01:00Z</dcterms:created>
  <dcterms:modified xsi:type="dcterms:W3CDTF">2020-03-29T14:14:00Z</dcterms:modified>
</cp:coreProperties>
</file>